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CF" w:rsidRDefault="006E23CF" w:rsidP="006E23CF">
      <w:pPr>
        <w:pStyle w:val="Heading2"/>
        <w:ind w:left="0" w:hanging="900"/>
      </w:pPr>
      <w:r>
        <w:t>Server</w:t>
      </w:r>
    </w:p>
    <w:p w:rsidR="006E23CF" w:rsidRDefault="006E23CF" w:rsidP="006E23CF">
      <w:pPr>
        <w:pStyle w:val="Heading2"/>
        <w:ind w:left="0" w:hanging="900"/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7431"/>
      </w:tblGrid>
      <w:tr w:rsidR="006E23CF" w:rsidTr="006E23CF">
        <w:trPr>
          <w:trHeight w:val="925"/>
        </w:trPr>
        <w:tc>
          <w:tcPr>
            <w:tcW w:w="9112" w:type="dxa"/>
            <w:gridSpan w:val="2"/>
            <w:shd w:val="clear" w:color="auto" w:fill="CCCCCC"/>
          </w:tcPr>
          <w:p w:rsidR="006E23CF" w:rsidRDefault="006E23CF" w:rsidP="009F3C7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6E23CF" w:rsidRDefault="006E23CF" w:rsidP="009F3C78">
            <w:pPr>
              <w:pStyle w:val="TableParagraph"/>
              <w:spacing w:before="0" w:line="249" w:lineRule="auto"/>
              <w:ind w:left="3923" w:right="112" w:hanging="38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HPE </w:t>
            </w:r>
            <w:proofErr w:type="spellStart"/>
            <w:r>
              <w:rPr>
                <w:b/>
                <w:sz w:val="20"/>
              </w:rPr>
              <w:t>ProLiant</w:t>
            </w:r>
            <w:proofErr w:type="spellEnd"/>
            <w:r>
              <w:rPr>
                <w:b/>
                <w:sz w:val="20"/>
              </w:rPr>
              <w:t xml:space="preserve"> ML350 Gen10 Hot Plug SFF with RPS Enablement Kit Configure-to-order Server (877626-B21)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 w:val="restart"/>
            <w:shd w:val="clear" w:color="auto" w:fill="EFEFEF"/>
          </w:tcPr>
          <w:p w:rsidR="006E23CF" w:rsidRDefault="006E23CF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Specs:</w:t>
            </w: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ML350 Gen10 SFF CTO Server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spacing w:line="249" w:lineRule="auto"/>
              <w:ind w:right="203"/>
              <w:rPr>
                <w:sz w:val="20"/>
              </w:rPr>
            </w:pPr>
            <w:r>
              <w:rPr>
                <w:sz w:val="20"/>
              </w:rPr>
              <w:t>HPE ML350 Gen10 Intel Xeon-Gold 5122 (3.6GHz/4-core/105W) FIO Processor Kit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ML350 Gen10 Intel Xeon-Gold 5122 (3.6GHz/4-core/105W) Processor Kit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spacing w:line="249" w:lineRule="auto"/>
              <w:ind w:right="359"/>
              <w:rPr>
                <w:sz w:val="20"/>
              </w:rPr>
            </w:pPr>
            <w:r>
              <w:rPr>
                <w:sz w:val="20"/>
              </w:rPr>
              <w:t>4 x HPE 16GB (1x16GB) Dual Rank x8 DDR4-2666 CAS-19-19-19 Registered Smart Memory Kit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spacing w:line="249" w:lineRule="auto"/>
              <w:ind w:right="82"/>
              <w:rPr>
                <w:sz w:val="20"/>
              </w:rPr>
            </w:pPr>
            <w:r>
              <w:rPr>
                <w:sz w:val="20"/>
              </w:rPr>
              <w:t xml:space="preserve">4x HPE 2TB SATA 6G Midline 7.2K SFF (2.5in) SC 1yr </w:t>
            </w:r>
            <w:proofErr w:type="spellStart"/>
            <w:r>
              <w:rPr>
                <w:sz w:val="20"/>
              </w:rPr>
              <w:t>Wty</w:t>
            </w:r>
            <w:proofErr w:type="spellEnd"/>
            <w:r>
              <w:rPr>
                <w:sz w:val="20"/>
              </w:rPr>
              <w:t xml:space="preserve"> 512e Digitally Signed Firmware HDD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96W Smart Storage Battery (up to 20 Devices) with 260mm Cable Kit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spacing w:line="249" w:lineRule="auto"/>
              <w:ind w:right="426"/>
              <w:rPr>
                <w:sz w:val="20"/>
              </w:rPr>
            </w:pPr>
            <w:r>
              <w:rPr>
                <w:sz w:val="20"/>
              </w:rPr>
              <w:t>HPE Smart Array P408i-a SR Gen10 (8 Internal Lanes/2GB Cache) 12G SAS Modular Controller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2x HPE 800W Flex Slot Platinum Hot Plug Low Halogen Power Supply Kit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2x HPE C13 - </w:t>
            </w:r>
            <w:proofErr w:type="spellStart"/>
            <w:r>
              <w:rPr>
                <w:sz w:val="20"/>
              </w:rPr>
              <w:t>Nema</w:t>
            </w:r>
            <w:proofErr w:type="spellEnd"/>
            <w:r>
              <w:rPr>
                <w:sz w:val="20"/>
              </w:rPr>
              <w:t xml:space="preserve"> 5-15P TH/PH 250V 10Amp 1.83m Power Cord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ML350 Gen10 AROC Mini-SAS Cable Kit for SFF Configuration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ML350 Gen10 Redundant Fan Cage Kit with 4 Fan Modules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vMerge/>
            <w:tcBorders>
              <w:top w:val="nil"/>
            </w:tcBorders>
            <w:shd w:val="clear" w:color="auto" w:fill="EFEFEF"/>
          </w:tcPr>
          <w:p w:rsidR="006E23CF" w:rsidRDefault="006E23CF" w:rsidP="009F3C78">
            <w:pPr>
              <w:rPr>
                <w:sz w:val="2"/>
                <w:szCs w:val="2"/>
              </w:rPr>
            </w:pP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HPE 3 Year Foundation Care Next Business Day ML350 Gen10 Service</w:t>
            </w:r>
          </w:p>
        </w:tc>
      </w:tr>
      <w:tr w:rsidR="006E23CF" w:rsidTr="006E23CF">
        <w:trPr>
          <w:trHeight w:val="490"/>
        </w:trPr>
        <w:tc>
          <w:tcPr>
            <w:tcW w:w="1681" w:type="dxa"/>
            <w:shd w:val="clear" w:color="auto" w:fill="EFEFEF"/>
          </w:tcPr>
          <w:p w:rsidR="006E23CF" w:rsidRDefault="006E23CF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Price:</w:t>
            </w: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spacing w:before="87"/>
              <w:rPr>
                <w:sz w:val="20"/>
              </w:rPr>
            </w:pPr>
            <w:r>
              <w:rPr>
                <w:rFonts w:ascii="MS Gothic" w:hAnsi="MS Gothic"/>
                <w:color w:val="212121"/>
                <w:sz w:val="24"/>
              </w:rPr>
              <w:t>₱</w:t>
            </w:r>
            <w:r>
              <w:rPr>
                <w:rFonts w:ascii="MS Gothic" w:hAnsi="MS Gothic"/>
                <w:color w:val="212121"/>
                <w:spacing w:val="-66"/>
                <w:sz w:val="24"/>
              </w:rPr>
              <w:t xml:space="preserve"> </w:t>
            </w:r>
            <w:r>
              <w:rPr>
                <w:sz w:val="20"/>
              </w:rPr>
              <w:t>820,000.00 VAT Inclusive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shd w:val="clear" w:color="auto" w:fill="EFEFEF"/>
          </w:tcPr>
          <w:p w:rsidR="006E23CF" w:rsidRDefault="006E23CF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Terms:</w:t>
            </w: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Days</w:t>
            </w:r>
          </w:p>
        </w:tc>
      </w:tr>
      <w:tr w:rsidR="006E23CF" w:rsidTr="006E23CF">
        <w:trPr>
          <w:trHeight w:val="445"/>
        </w:trPr>
        <w:tc>
          <w:tcPr>
            <w:tcW w:w="1681" w:type="dxa"/>
            <w:shd w:val="clear" w:color="auto" w:fill="EFEFEF"/>
          </w:tcPr>
          <w:p w:rsidR="006E23CF" w:rsidRDefault="006E23CF" w:rsidP="009F3C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Delivery:</w:t>
            </w: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Order Basis, 30-45 Days lead time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shd w:val="clear" w:color="auto" w:fill="EFEFEF"/>
          </w:tcPr>
          <w:p w:rsidR="006E23CF" w:rsidRDefault="006E23CF" w:rsidP="009F3C78">
            <w:pPr>
              <w:pStyle w:val="TableParagraph"/>
              <w:spacing w:line="249" w:lineRule="auto"/>
              <w:ind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Delivery Charges:</w:t>
            </w:r>
          </w:p>
        </w:tc>
        <w:tc>
          <w:tcPr>
            <w:tcW w:w="7431" w:type="dxa"/>
          </w:tcPr>
          <w:p w:rsidR="006E23CF" w:rsidRDefault="006E23CF" w:rsidP="009F3C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 with Metro Manila</w:t>
            </w:r>
          </w:p>
        </w:tc>
      </w:tr>
      <w:tr w:rsidR="006E23CF" w:rsidTr="006E23CF">
        <w:trPr>
          <w:trHeight w:val="685"/>
        </w:trPr>
        <w:tc>
          <w:tcPr>
            <w:tcW w:w="1681" w:type="dxa"/>
            <w:shd w:val="clear" w:color="auto" w:fill="EFEFEF"/>
          </w:tcPr>
          <w:p w:rsidR="006E23CF" w:rsidRDefault="006E23CF" w:rsidP="009F3C78">
            <w:pPr>
              <w:pStyle w:val="TableParagraph"/>
              <w:spacing w:line="249" w:lineRule="auto"/>
              <w:ind w:right="679"/>
              <w:rPr>
                <w:b/>
                <w:sz w:val="20"/>
              </w:rPr>
            </w:pPr>
            <w:r>
              <w:rPr>
                <w:b/>
                <w:sz w:val="20"/>
              </w:rPr>
              <w:t>Price Validity</w:t>
            </w:r>
          </w:p>
        </w:tc>
        <w:tc>
          <w:tcPr>
            <w:tcW w:w="7431" w:type="dxa"/>
          </w:tcPr>
          <w:p w:rsidR="006E23CF" w:rsidRDefault="006E23CF" w:rsidP="006E23CF">
            <w:pPr>
              <w:spacing w:before="112"/>
              <w:ind w:left="90"/>
              <w:rPr>
                <w:sz w:val="20"/>
              </w:rPr>
            </w:pPr>
            <w:r>
              <w:rPr>
                <w:sz w:val="20"/>
              </w:rPr>
              <w:t>December 21, 2018</w:t>
            </w:r>
          </w:p>
          <w:p w:rsidR="006E23CF" w:rsidRDefault="006E23CF" w:rsidP="009F3C78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6E23CF" w:rsidRPr="006E23CF" w:rsidRDefault="006E23CF" w:rsidP="006E23CF"/>
    <w:sectPr w:rsidR="006E23CF" w:rsidRPr="006E23CF" w:rsidSect="00203B8A">
      <w:pgSz w:w="12240" w:h="18720" w:code="1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8A"/>
    <w:rsid w:val="00203B8A"/>
    <w:rsid w:val="006E23CF"/>
    <w:rsid w:val="00D474FC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B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03B8A"/>
    <w:pPr>
      <w:ind w:left="88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03B8A"/>
    <w:pPr>
      <w:spacing w:before="110"/>
      <w:ind w:left="95"/>
    </w:pPr>
  </w:style>
  <w:style w:type="character" w:customStyle="1" w:styleId="Heading2Char">
    <w:name w:val="Heading 2 Char"/>
    <w:basedOn w:val="DefaultParagraphFont"/>
    <w:link w:val="Heading2"/>
    <w:uiPriority w:val="1"/>
    <w:rsid w:val="00203B8A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E23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23CF"/>
    <w:rPr>
      <w:rFonts w:ascii="Arial" w:eastAsia="Arial" w:hAnsi="Arial" w:cs="Arial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3B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03B8A"/>
    <w:pPr>
      <w:ind w:left="88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03B8A"/>
    <w:pPr>
      <w:spacing w:before="110"/>
      <w:ind w:left="95"/>
    </w:pPr>
  </w:style>
  <w:style w:type="character" w:customStyle="1" w:styleId="Heading2Char">
    <w:name w:val="Heading 2 Char"/>
    <w:basedOn w:val="DefaultParagraphFont"/>
    <w:link w:val="Heading2"/>
    <w:uiPriority w:val="1"/>
    <w:rsid w:val="00203B8A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E23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23CF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gamit.ph</dc:creator>
  <cp:lastModifiedBy>gamit.ph</cp:lastModifiedBy>
  <cp:revision>1</cp:revision>
  <dcterms:created xsi:type="dcterms:W3CDTF">2020-12-15T12:19:00Z</dcterms:created>
  <dcterms:modified xsi:type="dcterms:W3CDTF">2020-12-15T12:39:00Z</dcterms:modified>
</cp:coreProperties>
</file>